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37CB2FC0" w:rsidR="00792D6C" w:rsidRDefault="00A72E0E" w:rsidP="00634752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983982">
        <w:rPr>
          <w:color w:val="FF0000"/>
        </w:rPr>
        <w:t>девятых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r w:rsidR="00DE0C76" w:rsidRPr="00DE0C76">
        <w:t>2026.Б.002.00131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68D60E54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983982">
        <w:rPr>
          <w:b/>
          <w:color w:val="FF0000"/>
        </w:rPr>
        <w:t>11.05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9262DD">
        <w:rPr>
          <w:b/>
          <w:color w:val="FF0000"/>
        </w:rPr>
        <w:t>6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221D2AD6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</w:t>
      </w:r>
      <w:r w:rsidR="00983982" w:rsidRPr="00983982">
        <w:t xml:space="preserve"> https://bankrot.gov.by/online/153042/message</w:t>
      </w:r>
      <w:r w:rsidR="00323B31" w:rsidRPr="00323B31">
        <w:t>.</w:t>
      </w:r>
    </w:p>
    <w:p w14:paraId="3D818F82" w14:textId="7BB02FC7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983982">
        <w:rPr>
          <w:b/>
          <w:color w:val="FF0000"/>
        </w:rPr>
        <w:t>08.05</w:t>
      </w:r>
      <w:r w:rsidR="009262DD">
        <w:rPr>
          <w:b/>
          <w:color w:val="FF0000"/>
        </w:rPr>
        <w:t>.2026</w:t>
      </w:r>
      <w:r w:rsidR="007F1582" w:rsidRPr="00B16426">
        <w:rPr>
          <w:b/>
        </w:rPr>
        <w:t>.</w:t>
      </w:r>
    </w:p>
    <w:p w14:paraId="2E6B3735" w14:textId="025A071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lastRenderedPageBreak/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983982">
        <w:rPr>
          <w:b/>
          <w:color w:val="FF0000"/>
        </w:rPr>
        <w:t>08.05</w:t>
      </w:r>
      <w:r w:rsidR="009262DD">
        <w:rPr>
          <w:b/>
          <w:color w:val="FF0000"/>
        </w:rPr>
        <w:t>.2026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296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62DD"/>
    <w:rsid w:val="009320A9"/>
    <w:rsid w:val="009409E8"/>
    <w:rsid w:val="00952974"/>
    <w:rsid w:val="00971047"/>
    <w:rsid w:val="00977CFA"/>
    <w:rsid w:val="00980BB5"/>
    <w:rsid w:val="0098126B"/>
    <w:rsid w:val="00983982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1F8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0C76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CEA6-3FC8-42BD-B383-CF1A8D4E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79</cp:revision>
  <cp:lastPrinted>2025-08-25T06:59:00Z</cp:lastPrinted>
  <dcterms:created xsi:type="dcterms:W3CDTF">2024-09-16T05:35:00Z</dcterms:created>
  <dcterms:modified xsi:type="dcterms:W3CDTF">2026-04-23T13:18:00Z</dcterms:modified>
</cp:coreProperties>
</file>