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FC7E1" w14:textId="77777777" w:rsidR="00877333" w:rsidRDefault="00877333" w:rsidP="00A3602A">
      <w:pPr>
        <w:rPr>
          <w:color w:val="000000"/>
          <w:sz w:val="22"/>
          <w:szCs w:val="22"/>
        </w:rPr>
      </w:pPr>
      <w:bookmarkStart w:id="0" w:name="_GoBack"/>
      <w:bookmarkEnd w:id="0"/>
    </w:p>
    <w:p w14:paraId="52D9BB0E" w14:textId="4B5D60E3" w:rsidR="004268D4" w:rsidRDefault="004626AE" w:rsidP="00EB014A">
      <w:pPr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6210AA">
        <w:rPr>
          <w:color w:val="000000"/>
          <w:sz w:val="22"/>
          <w:szCs w:val="22"/>
        </w:rPr>
        <w:t xml:space="preserve">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531DD689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2851C1" w:rsidRPr="002851C1">
        <w:rPr>
          <w:b/>
          <w:bCs/>
          <w:sz w:val="22"/>
          <w:szCs w:val="22"/>
        </w:rPr>
        <w:t>2023.Ч.002.00049</w:t>
      </w:r>
      <w:proofErr w:type="spellEnd"/>
      <w:r w:rsidR="004626AE">
        <w:rPr>
          <w:b/>
          <w:bCs/>
          <w:sz w:val="22"/>
          <w:szCs w:val="22"/>
        </w:rPr>
        <w:t xml:space="preserve"> 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F24D7BA" w14:textId="5A629111" w:rsidR="00903DC7" w:rsidRPr="0092380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  <w:r w:rsidR="001C44CD"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r w:rsidR="001C44CD">
        <w:rPr>
          <w:sz w:val="22"/>
          <w:szCs w:val="22"/>
        </w:rPr>
        <w:t>Партизанский,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r w:rsidR="006C3C8D" w:rsidRPr="00E3616E">
        <w:rPr>
          <w:sz w:val="22"/>
          <w:szCs w:val="22"/>
        </w:rPr>
        <w:t>е-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792AE76D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9E76E4">
        <w:rPr>
          <w:b/>
          <w:sz w:val="22"/>
          <w:szCs w:val="22"/>
        </w:rPr>
        <w:t>19</w:t>
      </w:r>
      <w:r w:rsidR="00F85320" w:rsidRPr="00037A25">
        <w:rPr>
          <w:b/>
          <w:sz w:val="22"/>
          <w:szCs w:val="22"/>
        </w:rPr>
        <w:t>.</w:t>
      </w:r>
      <w:r w:rsidR="009E76E4">
        <w:rPr>
          <w:b/>
          <w:sz w:val="22"/>
          <w:szCs w:val="22"/>
        </w:rPr>
        <w:t>06</w:t>
      </w:r>
      <w:r w:rsidR="00D41AEF">
        <w:rPr>
          <w:b/>
          <w:sz w:val="22"/>
          <w:szCs w:val="22"/>
        </w:rPr>
        <w:t>.2023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г.Минск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г.Минск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г.Минск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г.Минск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(Р1/к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г.Минск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г.Минск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лит.Д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</w:t>
      </w:r>
      <w:r w:rsidR="004A0858" w:rsidRPr="00E3616E">
        <w:rPr>
          <w:sz w:val="22"/>
          <w:szCs w:val="22"/>
        </w:rPr>
        <w:lastRenderedPageBreak/>
        <w:t xml:space="preserve">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Лит.А</w:t>
      </w:r>
      <w:proofErr w:type="spell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Лит.А</w:t>
      </w:r>
      <w:proofErr w:type="spell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автом.систем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кадастровым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3564CAA7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7 073 567,40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бел.руб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707</w:t>
      </w:r>
      <w:r w:rsidR="00D54262" w:rsidRPr="00D54262">
        <w:rPr>
          <w:sz w:val="22"/>
          <w:szCs w:val="22"/>
        </w:rPr>
        <w:t> </w:t>
      </w:r>
      <w:r w:rsidR="008C0FB5">
        <w:rPr>
          <w:sz w:val="22"/>
          <w:szCs w:val="22"/>
        </w:rPr>
        <w:t>356</w:t>
      </w:r>
      <w:r w:rsidR="00D54262" w:rsidRPr="00D54262">
        <w:rPr>
          <w:sz w:val="22"/>
          <w:szCs w:val="22"/>
        </w:rPr>
        <w:t>,</w:t>
      </w:r>
      <w:r w:rsidR="008C0FB5">
        <w:rPr>
          <w:sz w:val="22"/>
          <w:szCs w:val="22"/>
        </w:rPr>
        <w:t>74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бел.руб</w:t>
      </w:r>
      <w:proofErr w:type="spellEnd"/>
      <w:r w:rsidRPr="00D54262">
        <w:rPr>
          <w:sz w:val="22"/>
          <w:szCs w:val="22"/>
        </w:rPr>
        <w:t>.</w:t>
      </w:r>
    </w:p>
    <w:p w14:paraId="017CD4ED" w14:textId="4BD01D20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9E76E4">
        <w:rPr>
          <w:b/>
          <w:color w:val="000000"/>
          <w:sz w:val="22"/>
          <w:szCs w:val="22"/>
          <w:u w:val="single"/>
        </w:rPr>
        <w:t>16</w:t>
      </w:r>
      <w:r w:rsidR="00C831E4">
        <w:rPr>
          <w:b/>
          <w:color w:val="000000"/>
          <w:sz w:val="22"/>
          <w:szCs w:val="22"/>
          <w:u w:val="single"/>
        </w:rPr>
        <w:t>.</w:t>
      </w:r>
      <w:r w:rsidR="009E76E4">
        <w:rPr>
          <w:b/>
          <w:color w:val="000000"/>
          <w:sz w:val="22"/>
          <w:szCs w:val="22"/>
          <w:u w:val="single"/>
        </w:rPr>
        <w:t>06</w:t>
      </w:r>
      <w:r w:rsidR="004955BB" w:rsidRPr="00E3616E">
        <w:rPr>
          <w:b/>
          <w:color w:val="000000"/>
          <w:sz w:val="22"/>
          <w:szCs w:val="22"/>
          <w:u w:val="single"/>
        </w:rPr>
        <w:t>.202</w:t>
      </w:r>
      <w:r w:rsidR="00D41AEF">
        <w:rPr>
          <w:b/>
          <w:color w:val="000000"/>
          <w:sz w:val="22"/>
          <w:szCs w:val="22"/>
          <w:u w:val="single"/>
        </w:rPr>
        <w:t>3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>Сумма задатка перечисляется оператору электронных торгов на р/с: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г.Минск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эл.торгов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эл.торгов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2F793A">
        <w:rPr>
          <w:sz w:val="22"/>
          <w:szCs w:val="22"/>
        </w:rPr>
        <w:t>12.</w:t>
      </w:r>
      <w:r w:rsidR="009E76E4">
        <w:rPr>
          <w:sz w:val="22"/>
          <w:szCs w:val="22"/>
        </w:rPr>
        <w:t>11.2022, 29.12.2022, 15.02.2023, 04.03.2023.</w:t>
      </w:r>
      <w:r w:rsidR="0092380F">
        <w:rPr>
          <w:sz w:val="22"/>
          <w:szCs w:val="22"/>
        </w:rPr>
        <w:t xml:space="preserve"> 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0D4E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851C1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793A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85C6B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26AE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4F2BFF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0FB5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80F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E76E4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602A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278D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1168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18</cp:revision>
  <cp:lastPrinted>2023-05-29T09:28:00Z</cp:lastPrinted>
  <dcterms:created xsi:type="dcterms:W3CDTF">2022-10-07T12:27:00Z</dcterms:created>
  <dcterms:modified xsi:type="dcterms:W3CDTF">2023-05-29T09:39:00Z</dcterms:modified>
</cp:coreProperties>
</file>