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0EE0A2FB" w:rsidR="00792D6C" w:rsidRDefault="00A72E0E" w:rsidP="00634752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A4154D">
        <w:t xml:space="preserve">первых 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4154D" w:rsidRPr="00A4154D">
        <w:t>2025.Б.002.00286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5AD9428F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A4154D">
        <w:rPr>
          <w:rFonts w:cs="Times New Roman"/>
          <w:sz w:val="24"/>
          <w:szCs w:val="24"/>
        </w:rPr>
        <w:t xml:space="preserve">первых 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0F9037E2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="00A4154D">
        <w:rPr>
          <w:bCs/>
        </w:rPr>
        <w:t>16 443 000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6B8A55BF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="00A4154D">
        <w:rPr>
          <w:bCs/>
        </w:rPr>
        <w:t>14 616 000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3BEB73ED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3D4EF1">
        <w:rPr>
          <w:b/>
          <w:color w:val="FF0000"/>
        </w:rPr>
        <w:t>1</w:t>
      </w:r>
      <w:r w:rsidR="00A4154D">
        <w:rPr>
          <w:b/>
          <w:color w:val="FF0000"/>
        </w:rPr>
        <w:t>0.12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2A2439" w:rsidRPr="00077351">
        <w:rPr>
          <w:b/>
          <w:color w:val="FF0000"/>
        </w:rPr>
        <w:t>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7FD05608" w:rsidR="00A221BA" w:rsidRPr="006E19CB" w:rsidRDefault="009218B5" w:rsidP="00F8686C">
      <w:pPr>
        <w:pStyle w:val="newncpi"/>
        <w:spacing w:before="0" w:after="0"/>
        <w:ind w:firstLine="709"/>
      </w:pPr>
      <w:proofErr w:type="gramStart"/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  <w:proofErr w:type="gramEnd"/>
      <w:r w:rsidR="00A4154D" w:rsidRPr="00A4154D">
        <w:t xml:space="preserve"> Ссылка на ранее опубликованное извещение https://bankrot.gov.by/online/142351/message.</w:t>
      </w:r>
    </w:p>
    <w:p w14:paraId="3D818F82" w14:textId="10F021AD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A4154D">
        <w:rPr>
          <w:b/>
          <w:color w:val="FF0000"/>
        </w:rPr>
        <w:t>09.12</w:t>
      </w:r>
      <w:r w:rsidR="002A2439" w:rsidRPr="00077351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0636668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A4154D">
        <w:rPr>
          <w:b/>
          <w:color w:val="FF0000"/>
        </w:rPr>
        <w:t>09.12</w:t>
      </w:r>
      <w:r w:rsidR="002A2439" w:rsidRPr="00EB4C24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коммунального консалтингового унитарного предприятия «Витебский областной центр </w:t>
      </w:r>
      <w:r w:rsidR="002B2388" w:rsidRPr="006E19CB">
        <w:rPr>
          <w:rFonts w:ascii="Times New Roman" w:hAnsi="Times New Roman" w:cs="Times New Roman"/>
          <w:sz w:val="24"/>
          <w:szCs w:val="24"/>
        </w:rPr>
        <w:lastRenderedPageBreak/>
        <w:t>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627F2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0933-04E1-4F94-93CB-85F51FEE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60</cp:revision>
  <cp:lastPrinted>2025-05-23T12:26:00Z</cp:lastPrinted>
  <dcterms:created xsi:type="dcterms:W3CDTF">2024-09-16T05:35:00Z</dcterms:created>
  <dcterms:modified xsi:type="dcterms:W3CDTF">2025-11-21T08:33:00Z</dcterms:modified>
</cp:coreProperties>
</file>